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25455" w:rsidRDefault="00225455" w:rsidP="00225455"/>
    <w:p w:rsidR="008838C0" w:rsidRDefault="00CB0303" w:rsidP="00E04F2D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52"/>
        </w:rPr>
      </w:pPr>
      <w:r>
        <w:rPr>
          <w:b/>
          <w:color w:val="FFFFFF" w:themeColor="background1"/>
          <w:sz w:val="52"/>
        </w:rPr>
        <w:tab/>
      </w:r>
      <w:r w:rsidR="00E90101">
        <w:rPr>
          <w:b/>
          <w:color w:val="FFFFFF" w:themeColor="background1"/>
          <w:sz w:val="52"/>
        </w:rPr>
        <w:t>STÁRKOV</w:t>
      </w:r>
      <w:r>
        <w:rPr>
          <w:b/>
          <w:color w:val="FFFFFF" w:themeColor="background1"/>
          <w:sz w:val="52"/>
        </w:rPr>
        <w:tab/>
      </w:r>
    </w:p>
    <w:p w:rsidR="008962D5" w:rsidRDefault="00DB4C44" w:rsidP="00110F9F">
      <w:pPr>
        <w:shd w:val="clear" w:color="auto" w:fill="309030"/>
        <w:tabs>
          <w:tab w:val="center" w:pos="4536"/>
          <w:tab w:val="left" w:pos="7412"/>
        </w:tabs>
        <w:ind w:left="-567" w:right="-567"/>
        <w:rPr>
          <w:b/>
          <w:color w:val="FFFFFF" w:themeColor="background1"/>
          <w:sz w:val="36"/>
        </w:rPr>
      </w:pPr>
      <w:r>
        <w:rPr>
          <w:b/>
          <w:noProof/>
          <w:sz w:val="36"/>
          <w:lang w:eastAsia="cs-CZ"/>
        </w:rPr>
        <w:drawing>
          <wp:anchor distT="0" distB="0" distL="114300" distR="114300" simplePos="0" relativeHeight="251658240" behindDoc="1" locked="0" layoutInCell="1" allowOverlap="1" wp14:anchorId="3798233E" wp14:editId="628CE1E1">
            <wp:simplePos x="0" y="0"/>
            <wp:positionH relativeFrom="column">
              <wp:posOffset>-366395</wp:posOffset>
            </wp:positionH>
            <wp:positionV relativeFrom="paragraph">
              <wp:posOffset>474980</wp:posOffset>
            </wp:positionV>
            <wp:extent cx="6530975" cy="4898390"/>
            <wp:effectExtent l="19050" t="19050" r="22225" b="16510"/>
            <wp:wrapTight wrapText="bothSides">
              <wp:wrapPolygon edited="0">
                <wp:start x="-63" y="-84"/>
                <wp:lineTo x="-63" y="21589"/>
                <wp:lineTo x="21611" y="21589"/>
                <wp:lineTo x="21611" y="-84"/>
                <wp:lineTo x="-63" y="-84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JI_051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0975" cy="489839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0F9F">
        <w:rPr>
          <w:b/>
          <w:color w:val="FFFFFF" w:themeColor="background1"/>
          <w:sz w:val="36"/>
        </w:rPr>
        <w:tab/>
      </w:r>
      <w:r w:rsidR="00A7327C">
        <w:rPr>
          <w:b/>
          <w:color w:val="FFFFFF" w:themeColor="background1"/>
          <w:sz w:val="36"/>
        </w:rPr>
        <w:t xml:space="preserve">Krajinný okrsek č. </w:t>
      </w:r>
      <w:r w:rsidR="00E90101">
        <w:rPr>
          <w:b/>
          <w:color w:val="FFFFFF" w:themeColor="background1"/>
          <w:sz w:val="36"/>
        </w:rPr>
        <w:t>6</w:t>
      </w:r>
      <w:r w:rsidR="00110F9F">
        <w:rPr>
          <w:b/>
          <w:color w:val="FFFFFF" w:themeColor="background1"/>
          <w:sz w:val="36"/>
        </w:rPr>
        <w:tab/>
      </w:r>
    </w:p>
    <w:p w:rsidR="008962D5" w:rsidRDefault="008962D5" w:rsidP="00E90101">
      <w:pPr>
        <w:spacing w:after="0"/>
        <w:rPr>
          <w:b/>
          <w:color w:val="FFFFFF" w:themeColor="background1"/>
          <w:sz w:val="36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CB0303" w:rsidTr="00CB0303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Výměra okrsku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CB0303" w:rsidRPr="00E04F2D" w:rsidRDefault="004079C0" w:rsidP="00CB0303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1005</w:t>
            </w:r>
            <w:r w:rsidR="00DE761B" w:rsidRPr="00DE761B">
              <w:rPr>
                <w:color w:val="000000" w:themeColor="text1"/>
              </w:rPr>
              <w:t xml:space="preserve"> </w:t>
            </w:r>
            <w:r w:rsidR="00DB4C44" w:rsidRPr="00DB4C44">
              <w:rPr>
                <w:color w:val="000000" w:themeColor="text1"/>
              </w:rPr>
              <w:t>ha</w:t>
            </w:r>
          </w:p>
        </w:tc>
      </w:tr>
      <w:tr w:rsidR="00CB0303" w:rsidTr="00CB0303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Zájmové obce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E90101" w:rsidP="00CB0303">
            <w:pPr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Velké Petrovice (23 ha), Česká Metuje (18 ha), Hronov (147 ha), Stárkov (818 ha)</w:t>
            </w:r>
          </w:p>
        </w:tc>
      </w:tr>
      <w:tr w:rsidR="00CB0303" w:rsidTr="00CB0303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Typologie dle ZÚR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E90101" w:rsidP="00DB4C44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L</w:t>
            </w:r>
            <w:r w:rsidR="00DE761B" w:rsidRPr="00DE761B">
              <w:rPr>
                <w:color w:val="000000" w:themeColor="text1"/>
              </w:rPr>
              <w:t>esozemědělské krajiny</w:t>
            </w:r>
          </w:p>
        </w:tc>
      </w:tr>
      <w:tr w:rsidR="00CB0303" w:rsidTr="00110F9F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Základní popis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10F9F" w:rsidRPr="00110F9F" w:rsidRDefault="00E90101" w:rsidP="00DB4C44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Krajinn</w:t>
            </w:r>
            <w:r w:rsidR="005603AA">
              <w:rPr>
                <w:color w:val="000000" w:themeColor="text1"/>
              </w:rPr>
              <w:t>á konfigurace</w:t>
            </w:r>
            <w:r w:rsidRPr="00E90101">
              <w:rPr>
                <w:color w:val="000000" w:themeColor="text1"/>
              </w:rPr>
              <w:t xml:space="preserve"> okrsk</w:t>
            </w:r>
            <w:r w:rsidR="005603AA">
              <w:rPr>
                <w:color w:val="000000" w:themeColor="text1"/>
              </w:rPr>
              <w:t>u</w:t>
            </w:r>
            <w:r w:rsidRPr="00E90101">
              <w:rPr>
                <w:color w:val="000000" w:themeColor="text1"/>
              </w:rPr>
              <w:t xml:space="preserve"> </w:t>
            </w:r>
            <w:r w:rsidR="005603AA">
              <w:rPr>
                <w:color w:val="000000" w:themeColor="text1"/>
              </w:rPr>
              <w:t xml:space="preserve">je </w:t>
            </w:r>
            <w:r w:rsidRPr="00E90101">
              <w:rPr>
                <w:color w:val="000000" w:themeColor="text1"/>
              </w:rPr>
              <w:t>protáhlého tvaru</w:t>
            </w:r>
            <w:r w:rsidR="005603AA">
              <w:rPr>
                <w:color w:val="000000" w:themeColor="text1"/>
              </w:rPr>
              <w:t>. Jedná se o k</w:t>
            </w:r>
            <w:r w:rsidRPr="00E90101">
              <w:rPr>
                <w:color w:val="000000" w:themeColor="text1"/>
              </w:rPr>
              <w:t xml:space="preserve"> Metuji klesající polootevřené údolí podél potoka Dřevíče. Okrsek je vymezený zřetelně dominantní hranou skal s Vysokým kamenem ze SV a lesnatým horizontem na JZ.  Stárkov je městem na soutoku Dřevíče s Jivkou v těžišti okrsku</w:t>
            </w:r>
            <w:r w:rsidR="005603AA">
              <w:rPr>
                <w:color w:val="000000" w:themeColor="text1"/>
              </w:rPr>
              <w:t>.</w:t>
            </w:r>
            <w:r w:rsidRPr="00E90101">
              <w:rPr>
                <w:color w:val="000000" w:themeColor="text1"/>
              </w:rPr>
              <w:t xml:space="preserve"> </w:t>
            </w:r>
            <w:r w:rsidR="005603AA">
              <w:rPr>
                <w:color w:val="000000" w:themeColor="text1"/>
              </w:rPr>
              <w:t>V</w:t>
            </w:r>
            <w:r w:rsidRPr="00E90101">
              <w:rPr>
                <w:color w:val="000000" w:themeColor="text1"/>
              </w:rPr>
              <w:t xml:space="preserve">rch Vápenka </w:t>
            </w:r>
            <w:r w:rsidR="005603AA">
              <w:rPr>
                <w:color w:val="000000" w:themeColor="text1"/>
              </w:rPr>
              <w:t xml:space="preserve">je </w:t>
            </w:r>
            <w:r w:rsidRPr="00E90101">
              <w:rPr>
                <w:color w:val="000000" w:themeColor="text1"/>
              </w:rPr>
              <w:t>jeho nejvyšším bodem v severozápadním cípu útvaru. Okrsek je uvedenými přírodními faktory v lesozemědělské krajině zřetelně prostorově vymezen.</w:t>
            </w:r>
          </w:p>
        </w:tc>
      </w:tr>
      <w:tr w:rsidR="008504A8" w:rsidTr="00DB4C44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blBorders>
        </w:tblPrEx>
        <w:trPr>
          <w:trHeight w:val="51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lastRenderedPageBreak/>
              <w:t>Vlastní krajina dle ÚSK KHK</w:t>
            </w:r>
          </w:p>
        </w:tc>
        <w:tc>
          <w:tcPr>
            <w:tcW w:w="7630" w:type="dxa"/>
            <w:vAlign w:val="center"/>
          </w:tcPr>
          <w:p w:rsidR="008504A8" w:rsidRPr="00E04F2D" w:rsidRDefault="00DB4C44" w:rsidP="00650D28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Broumovsko</w:t>
            </w:r>
          </w:p>
        </w:tc>
      </w:tr>
      <w:tr w:rsidR="008504A8" w:rsidTr="00DB4C44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blBorders>
        </w:tblPrEx>
        <w:trPr>
          <w:trHeight w:val="49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Katastrální území</w:t>
            </w:r>
          </w:p>
        </w:tc>
        <w:tc>
          <w:tcPr>
            <w:tcW w:w="7630" w:type="dxa"/>
            <w:vAlign w:val="center"/>
          </w:tcPr>
          <w:p w:rsidR="008504A8" w:rsidRPr="00E04F2D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Velké Petrovice (6 ha), Maršov nad Metují (17 ha), Metujka (15 ha), Skalka u České Metuje (3 ha), Stárkov (474 ha), Velký Dřevíč (147 ha), Rokytník (0 ha), Horní Dřevíč (320 ha), Bystré u Stárkova (24 ha)</w:t>
            </w:r>
          </w:p>
        </w:tc>
      </w:tr>
      <w:tr w:rsidR="008504A8" w:rsidTr="00DB4C44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blBorders>
        </w:tblPrEx>
        <w:trPr>
          <w:trHeight w:val="77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Platná ÚPD</w:t>
            </w:r>
          </w:p>
        </w:tc>
        <w:tc>
          <w:tcPr>
            <w:tcW w:w="7630" w:type="dxa"/>
            <w:vAlign w:val="center"/>
          </w:tcPr>
          <w:p w:rsidR="008504A8" w:rsidRPr="00E04F2D" w:rsidRDefault="00E90101" w:rsidP="00E90101">
            <w:pPr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ÚP Česká Metuje 2011, ÚP Velké Petrovice 2017, ÚP Stárkov 2015, UPM Hronov 2005, změna č. 1 ÚPM Hronov 2012</w:t>
            </w:r>
          </w:p>
        </w:tc>
      </w:tr>
      <w:tr w:rsidR="008504A8" w:rsidTr="00DB4C44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blBorders>
        </w:tblPrEx>
        <w:trPr>
          <w:trHeight w:val="574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 xml:space="preserve">Zpracované </w:t>
            </w:r>
            <w:r w:rsidR="00EE65C2">
              <w:rPr>
                <w:b/>
                <w:color w:val="000000" w:themeColor="text1"/>
                <w:sz w:val="24"/>
                <w:szCs w:val="24"/>
              </w:rPr>
              <w:t xml:space="preserve">komplexní </w:t>
            </w:r>
            <w:r w:rsidRPr="008504A8">
              <w:rPr>
                <w:b/>
                <w:color w:val="000000" w:themeColor="text1"/>
                <w:sz w:val="24"/>
                <w:szCs w:val="24"/>
              </w:rPr>
              <w:t>pozemkové úpravy</w:t>
            </w:r>
          </w:p>
        </w:tc>
        <w:tc>
          <w:tcPr>
            <w:tcW w:w="7630" w:type="dxa"/>
            <w:vAlign w:val="center"/>
          </w:tcPr>
          <w:p w:rsidR="008504A8" w:rsidRPr="00110F9F" w:rsidRDefault="00E90101" w:rsidP="00E90101">
            <w:pPr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Velké Petrovice</w:t>
            </w:r>
            <w:r>
              <w:rPr>
                <w:color w:val="000000" w:themeColor="text1"/>
              </w:rPr>
              <w:t xml:space="preserve"> -</w:t>
            </w:r>
            <w:r w:rsidRPr="00E90101">
              <w:rPr>
                <w:color w:val="000000" w:themeColor="text1"/>
              </w:rPr>
              <w:t xml:space="preserve"> ukončena 2005; Maršov nad Metují</w:t>
            </w:r>
            <w:r>
              <w:rPr>
                <w:color w:val="000000" w:themeColor="text1"/>
              </w:rPr>
              <w:t xml:space="preserve"> -</w:t>
            </w:r>
            <w:r w:rsidRPr="00E90101">
              <w:rPr>
                <w:color w:val="000000" w:themeColor="text1"/>
              </w:rPr>
              <w:t xml:space="preserve"> ukončena 2003; Metujka</w:t>
            </w:r>
            <w:r>
              <w:rPr>
                <w:color w:val="000000" w:themeColor="text1"/>
              </w:rPr>
              <w:t xml:space="preserve"> -</w:t>
            </w:r>
            <w:r w:rsidRPr="00E90101">
              <w:rPr>
                <w:color w:val="000000" w:themeColor="text1"/>
              </w:rPr>
              <w:t>předpokládané zahájení 2020</w:t>
            </w:r>
          </w:p>
        </w:tc>
      </w:tr>
    </w:tbl>
    <w:p w:rsidR="008504A8" w:rsidRDefault="008504A8" w:rsidP="00110F9F">
      <w:pPr>
        <w:rPr>
          <w:b/>
          <w:color w:val="FFFFFF" w:themeColor="background1"/>
        </w:rPr>
      </w:pPr>
    </w:p>
    <w:p w:rsid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 xml:space="preserve">RÁMCOVÉ PODMÍNKY VYUŽITÍ </w:t>
      </w:r>
    </w:p>
    <w:p w:rsidR="008504A8" w:rsidRP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(ÚZEMNÍ PLÁNY OBCÍ)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650D28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uspořádán</w:t>
            </w:r>
            <w:r>
              <w:rPr>
                <w:b/>
                <w:color w:val="000000" w:themeColor="text1"/>
                <w:sz w:val="24"/>
                <w:szCs w:val="24"/>
              </w:rPr>
              <w:t>í krajiny (vztah sídlo krajina)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8504A8" w:rsidRPr="00E04F2D" w:rsidRDefault="00E90101" w:rsidP="00872EF6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Sídlo s typicky protáhlou strukturou v údolí potoka má problematické pozice ve vztahu ke krajině v místech Green valey a nové rozvojové plochy pod Vysokým kamenem, protože vybíhají z údolnice mimo původní půdorysnou stopu sídla na úbočí Stárkovské pláně a rovněž ve vztahu k nevyužívání některých areálů. Očekává se opatrnost v rozvoji BV do krajiny, zvláště u západní rozvojové lokality. Největší severní rozvoj BV je uzavřen svahy Jestřebích hor a průběhem silnice od České Metuje. Drobné rozvoje lokality Na Vlásence by měly být prověřeny z hlediska vlivu na krajinný ráz.</w:t>
            </w:r>
          </w:p>
        </w:tc>
      </w:tr>
      <w:tr w:rsidR="008504A8" w:rsidTr="00650D28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Využití ploch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04F2D" w:rsidRDefault="00E90101" w:rsidP="00872EF6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Rozvoj bydlení (BV)</w:t>
            </w:r>
            <w:r w:rsidR="005603AA">
              <w:rPr>
                <w:color w:val="000000" w:themeColor="text1"/>
              </w:rPr>
              <w:t xml:space="preserve"> v ÚPD</w:t>
            </w:r>
            <w:r w:rsidRPr="00E90101">
              <w:rPr>
                <w:color w:val="000000" w:themeColor="text1"/>
              </w:rPr>
              <w:t xml:space="preserve"> jednoznačně dominuje, hlavní kapacitní lokace do těžiště sídla by měla být podporována s ohledem na ochranu krajiny.</w:t>
            </w:r>
          </w:p>
        </w:tc>
      </w:tr>
      <w:tr w:rsidR="008504A8" w:rsidTr="00650D28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turismus a rekreační využití krajiny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04F2D" w:rsidRDefault="00E90101" w:rsidP="00DE761B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 xml:space="preserve">Stabilizace rekreačního využití a mírný rozvoj turistiky jsou žádoucí, stejně jako posílení využití MPZ a křížové cesty coby přesahu do krajiny.  </w:t>
            </w:r>
          </w:p>
        </w:tc>
      </w:tr>
      <w:tr w:rsidR="008504A8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přírodních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E90101" w:rsidRPr="00E90101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EVL Stárkovské bučiny a EVL Metuje a Dřevíč</w:t>
            </w:r>
            <w:r>
              <w:rPr>
                <w:color w:val="000000" w:themeColor="text1"/>
              </w:rPr>
              <w:t xml:space="preserve"> </w:t>
            </w:r>
            <w:r w:rsidRPr="00E90101">
              <w:rPr>
                <w:color w:val="000000" w:themeColor="text1"/>
              </w:rPr>
              <w:t>- postupovat dle SDO a plánu péče CHKO.</w:t>
            </w:r>
          </w:p>
          <w:p w:rsidR="008504A8" w:rsidRPr="00110F9F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Ochrana dynamické morfologie terénu je zajištěna soustavou limitů ochrany přírody a krajiny, a dále také povinností navazovat rozvojem na zastavěné území.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kulturních a historických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5433E" w:rsidRPr="00110F9F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MPZ byla stanovena tak, že zahrnuje náměstí, zámek a pivovar, dále křížovou cestu, Vápenku a památkově cenné venkovské domy (NKP), území archeologických nálezů plus evidované prvky lidové architektury. Nové rozvojové plochy je třeba limitovat splněním požadavků na regulační prvky a zejména sledovat plynulé přechody nové výstavby do krajiny.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estet</w:t>
            </w:r>
            <w:r>
              <w:rPr>
                <w:b/>
                <w:color w:val="000000" w:themeColor="text1"/>
                <w:sz w:val="24"/>
                <w:szCs w:val="24"/>
              </w:rPr>
              <w:t>ických hodnot a krajinného rázu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E90101" w:rsidRPr="00E90101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 xml:space="preserve">Zachovat harmonický charakter území se zapojením zástavby do krajinného rámce údolí Dřevíče. </w:t>
            </w:r>
          </w:p>
          <w:p w:rsidR="00E90101" w:rsidRPr="00E90101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 xml:space="preserve">Jedná se o území s nejvyšším stupněm ochrany (I pásmo) krajinného rázu (Vorel et al. 2010): </w:t>
            </w:r>
          </w:p>
          <w:p w:rsidR="00E90101" w:rsidRPr="00E90101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V pásmu I nelze novou výstavbou, přestavbou nebo změnou využití území měnit existující charakteristické a cenné vizuální vztahy zástavby a krajinného rámce včetně existujícího vztahu zastavěných a nezastavěných ploch. Nelze tudíž vytvářet nové plochy či skupiny zástavby – nová zástavba dotváří urbanistickou strukturu na volných plochách uvnitř zastavěného území bez vlivu na vizuální obraz sídla.</w:t>
            </w:r>
          </w:p>
          <w:p w:rsidR="00E90101" w:rsidRPr="00E90101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V pásmu I není možná výstavba v okrajových částech existující zástavby, v pohledově exponovaných polohách a v polohách, kde by došlo ke změně existující siluety zástavby a přechodu zástavby do krajiny.</w:t>
            </w:r>
          </w:p>
          <w:p w:rsidR="0045433E" w:rsidRPr="00110F9F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lastRenderedPageBreak/>
              <w:t>Nová výstavba nebo změna využití území nesmí snížit význam přírodních prvků a struktur krajiny v krajinné scéně.</w:t>
            </w:r>
          </w:p>
        </w:tc>
      </w:tr>
      <w:tr w:rsidR="00872EF6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72EF6" w:rsidRPr="0045433E" w:rsidRDefault="00872EF6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72EF6">
              <w:rPr>
                <w:b/>
                <w:color w:val="000000" w:themeColor="text1"/>
                <w:sz w:val="24"/>
                <w:szCs w:val="24"/>
              </w:rPr>
              <w:lastRenderedPageBreak/>
              <w:t>Podmínky pro zlepšení vodního režimu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72EF6" w:rsidRPr="00872EF6" w:rsidRDefault="00E90101" w:rsidP="00872EF6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Vytváření územních podmínek (nezastav. území) v rámci vodotečí a jejich okolí. V rámci zastavěných území sídel podél vodních toků počítat s PBPO. Rámcově vymezené plochy údolní nivy toku Dřevíče a Jívky v ÚPD či podrobnějších plánech zpřesnit a zajistit jejich nezastavitelnost.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protierozní ochrany a ochrany ZPF a PUP</w:t>
            </w:r>
            <w:r>
              <w:rPr>
                <w:b/>
                <w:color w:val="000000" w:themeColor="text1"/>
                <w:sz w:val="24"/>
                <w:szCs w:val="24"/>
              </w:rPr>
              <w:t>FL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E90101" w:rsidRPr="00E90101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Zemědělská půda v okrsku se rozprostírá zhruba na 344 ha, což činí okolo 34 % výměry celého okrsku. U téměř 80 % půdních bloků je evidována kultura trvalý travní porost, u přibližně 17 % je evidována standardní orná půda a u přibližně 2 % je evidován travní porost na orné půdě.</w:t>
            </w:r>
          </w:p>
          <w:p w:rsidR="00E90101" w:rsidRPr="00E90101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 xml:space="preserve">Nové zastavitelné plochy je doporučeno situovat mimo půdy s nejvyšší produkční schopností. Tyto plochy je nutno vymezovat v souladu s § 55 odst. 4 zákona č. 183/2006 Sb., o územním plánování </w:t>
            </w:r>
          </w:p>
          <w:p w:rsidR="00E90101" w:rsidRPr="00E90101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a stavebním řádu a § 4 zákona č. 334/1992 Sb., o ochraně zemědělského půdního fondu. V případě realizace záborů zemědělského půdního fondu a vymezování nových zastavitelných ploch je doporučeno vymezovat tyto plochy takovým způsobem, aby docházelo k co nejnižší fragmentaci zemědělského půdního fondu. Důležité je především zamezit vzniku podměrečných ploch, které nejsou z hlediska dalšího zemědělského užívání účelně využitelné.</w:t>
            </w:r>
          </w:p>
          <w:p w:rsidR="00E90101" w:rsidRPr="00E90101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Lesní porosty se v rámci okrsku rozprostírají na přibližně 441 ha, což činí téměř 44 % výměry celého okrsku. Z hlediska kategorizace mají nejvýraznější zastoupení lesy hospodářské a lesy ochranné. Z hlediska podrobnějšího popisu lesních ekosystému převažují hospodářské lesy jehličnaté, bučiny a hospodářské lesy smíšené. Klasifikace dle smíšenosti vykazuje zastoupení jehličnatých lesů přibližně 69 %, smíšené porosty pak mají zastoupení zhruba 27 %. Z hlediska potenciální přirozené vegetace lze v území identifikovat oblast bikové bučiny a bučiny s kyčelnicí devítilistou. Zájmový okrsek se nachází ve čtvrtém – bukovém a pátém – jedlo-bukovém lesním vegetačním stupni.</w:t>
            </w:r>
          </w:p>
          <w:p w:rsidR="0045433E" w:rsidRPr="00110F9F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V případě realizace záborů pozemků určených k plnění funkce lesa a vymezování nových zastavitelných ploch je doporučeno vymezovat tyto plochy takovým způsobem, aby docházelo k co nejnižší fragmentaci lesních porostů – pozemků určených k plnění funkce lesa. Důležité je především zamezit vzniku podměrečných ploch, které nejsou z hlediska dalšího hospodaření účelně využitelné a zároveň představují potenciální riziko z hlediska snížení jejich ekologické hodnoty.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 zlepšení biodiverzity a ekologické stability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E90101" w:rsidRPr="00E90101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Jedná se území ekologicky relativně stabilní. Převážná část okrsku mimo zastavěné území sídel spadá do jádrové zóny Biotopu vybraných zvláště chráněných druhů velkých savců. V rámci ÚPD zajistit nezastavitelnost volné krajiny mimo dostavbu stávajících sídel.</w:t>
            </w:r>
          </w:p>
          <w:p w:rsidR="00E90101" w:rsidRPr="00E90101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Konkrétně ÚPD nástroji zamezit srůstání sídel v údolí Dřevíče (Velký Dřevíč – Horní Dřevíč, Stárkov – lokalita Vápenka).</w:t>
            </w:r>
          </w:p>
          <w:p w:rsidR="0045433E" w:rsidRPr="00110F9F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Vymezení nezastavitelných ploch krajinné zeleně pro realizaci interakčních prvků ÚSES s ohledem na další krajinotvorné funkce (viz protierozní ochrana a zlepšení vodního režimu).</w:t>
            </w:r>
          </w:p>
        </w:tc>
      </w:tr>
      <w:tr w:rsidR="0045433E" w:rsidTr="00650D28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 využití brownfields a míst se zvýšenou ekologickou zátěží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E90101" w:rsidRPr="00E90101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V okrsku lze dle ÚAP ORP Náchod identifikovat jednu starou ekologickou zátěž. Jedná se o skládku Stárkova Vápenka v k. ú. Stárkov. Před vymezením nových funkčních ploch v tomto území je doporučeno výše uvedenou lokalitu konkrétněji prověřit tak, aby nemohlo v rámci nového funkčního využití dojít k nepříznivému ovlivnění životního prostředí nebo lidského zdraví.</w:t>
            </w:r>
          </w:p>
          <w:p w:rsidR="0045433E" w:rsidRPr="00110F9F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Nevyužívané areály výrobní a zemědělské povahy nemají charakter brownfields, jsou dobře transformovatelné nebo nově využitelné bez sanací.</w:t>
            </w:r>
            <w:r w:rsidR="005603AA">
              <w:rPr>
                <w:color w:val="000000" w:themeColor="text1"/>
              </w:rPr>
              <w:t xml:space="preserve"> </w:t>
            </w:r>
            <w:proofErr w:type="gramStart"/>
            <w:r w:rsidR="005603AA" w:rsidRPr="005603AA">
              <w:rPr>
                <w:color w:val="000000" w:themeColor="text1"/>
              </w:rPr>
              <w:t>V</w:t>
            </w:r>
            <w:proofErr w:type="gramEnd"/>
            <w:r w:rsidR="005603AA" w:rsidRPr="005603AA">
              <w:rPr>
                <w:color w:val="000000" w:themeColor="text1"/>
              </w:rPr>
              <w:t xml:space="preserve"> evidenci pro </w:t>
            </w:r>
            <w:r w:rsidR="005603AA" w:rsidRPr="005603AA">
              <w:rPr>
                <w:color w:val="000000" w:themeColor="text1"/>
              </w:rPr>
              <w:lastRenderedPageBreak/>
              <w:t xml:space="preserve">území okrsku </w:t>
            </w:r>
            <w:r w:rsidR="005603AA">
              <w:rPr>
                <w:color w:val="000000" w:themeColor="text1"/>
              </w:rPr>
              <w:t xml:space="preserve">je </w:t>
            </w:r>
            <w:r w:rsidR="005603AA" w:rsidRPr="005603AA">
              <w:rPr>
                <w:color w:val="000000" w:themeColor="text1"/>
              </w:rPr>
              <w:t>uveden 1 brownfield -  areál zámku. Je v dobrém stavu, zpracovatelé jej nepovažují za brownfield.</w:t>
            </w:r>
          </w:p>
        </w:tc>
      </w:tr>
    </w:tbl>
    <w:p w:rsidR="0045433E" w:rsidRDefault="001838A2" w:rsidP="001838A2">
      <w:pPr>
        <w:tabs>
          <w:tab w:val="left" w:pos="3330"/>
        </w:tabs>
        <w:rPr>
          <w:b/>
          <w:color w:val="FFFFFF" w:themeColor="background1"/>
        </w:rPr>
      </w:pPr>
      <w:r>
        <w:rPr>
          <w:b/>
          <w:color w:val="FFFFFF" w:themeColor="background1"/>
        </w:rPr>
        <w:lastRenderedPageBreak/>
        <w:tab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RÁMCOVÁ DOPORUČENÍ PRO OPATŘENÍ</w:t>
      </w:r>
    </w:p>
    <w:p w:rsidR="0045433E" w:rsidRPr="008504A8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(VEŘEJNÁ SPRÁVA, SPRÁVCI ÚZEMÍ, VLASTNÍCI)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45433E" w:rsidTr="0045433E">
        <w:trPr>
          <w:trHeight w:val="513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zlepšení vodního režimu</w:t>
            </w:r>
          </w:p>
        </w:tc>
        <w:tc>
          <w:tcPr>
            <w:tcW w:w="7630" w:type="dxa"/>
            <w:vAlign w:val="center"/>
          </w:tcPr>
          <w:p w:rsidR="00E90101" w:rsidRPr="00E90101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 xml:space="preserve">V rámci ÚSK byla podél toku Dřevíče rámcově vymezena údolní niva. Údolní nivu je nutné respektovat jako významnou plochu pro rozliv vod při povodňových stavech a jako lokalitu s významným biologickým a ekostabilizačním potenciálem. </w:t>
            </w:r>
          </w:p>
          <w:p w:rsidR="00E90101" w:rsidRPr="00E90101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Zajistit ochranu fungující retence v nivách toků mimo i v zastavěném území a dále podpořit PBPO snížením kapacity koryta revitalizací a formou zvýšení kapacity rozlivů do údolní nivy, které se podílí na transformaci povodňových průtoků.</w:t>
            </w:r>
          </w:p>
          <w:p w:rsidR="0045433E" w:rsidRPr="00E04F2D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V intravilánu Stárkova pozor na kolizi s EVL Metuje – Dřevíč a reg. Biokoridor. Na toku Metuje realizovat opatření, která zajišťují ekologické nebo architektonické funkce toku a nejsou přímou součástí potřebných protipovodňových opatření (např. v parcích a zastavěných oblastech, náhony). V rámci ostatního zastavěného území vhodně kombinovat opatření PBPO (složený profil se stěhovavou kynetou - revitalizovaným korytem) + technická PPO. Odstranit migrační překážky na tocích.</w:t>
            </w:r>
          </w:p>
        </w:tc>
      </w:tr>
      <w:tr w:rsidR="0045433E" w:rsidTr="0045433E">
        <w:trPr>
          <w:trHeight w:val="493"/>
        </w:trPr>
        <w:tc>
          <w:tcPr>
            <w:tcW w:w="2659" w:type="dxa"/>
            <w:vAlign w:val="center"/>
          </w:tcPr>
          <w:p w:rsidR="0045433E" w:rsidRPr="00E04F2D" w:rsidRDefault="0045433E" w:rsidP="0045433E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Doporučení pro zemědělství </w:t>
            </w:r>
          </w:p>
        </w:tc>
        <w:tc>
          <w:tcPr>
            <w:tcW w:w="7630" w:type="dxa"/>
            <w:vAlign w:val="center"/>
          </w:tcPr>
          <w:p w:rsidR="00E90101" w:rsidRPr="00E90101" w:rsidRDefault="00E90101" w:rsidP="00E90101">
            <w:pPr>
              <w:spacing w:after="120"/>
              <w:jc w:val="both"/>
            </w:pPr>
            <w:r w:rsidRPr="00E90101">
              <w:t>Na základě výsledků analytické části týkající se zemědělského půdního fondu v zájmovém okrsku lze konstatovat, že lze u části pozemků v tomto okrsku identifikovat zvýšené ohrožení vodní erozí. U těchto pozemků je doporučeno klást důraz na dodržování pravidel protierozní ochrany, především z hlediska organizačních a agrotechnických protierozních opatření. V rámci okrsku je z hlediska protierozní ochrany doporučeno věnovat zvýšenou pozornost především půdnímu bloku</w:t>
            </w:r>
            <w:r>
              <w:t xml:space="preserve"> </w:t>
            </w:r>
            <w:r w:rsidRPr="00E90101">
              <w:t>3002/23 (k. ú. Stárkov a Horní Dřevíč).</w:t>
            </w:r>
          </w:p>
          <w:p w:rsidR="00E90101" w:rsidRPr="00E90101" w:rsidRDefault="00E90101" w:rsidP="00E90101">
            <w:pPr>
              <w:spacing w:after="120"/>
              <w:jc w:val="both"/>
            </w:pPr>
            <w:r w:rsidRPr="00E90101">
              <w:t>Většina plochy okrsku se nachází ve III. zóně CHKO Broumovsko, svahy na levém břehu vodního toku Dřevíče se nachází ve II. zóně CHKO Broumovsko. Hospodaření v okrsku je tedy nutno podřídit požadavkům ochrany přírody a krajiny. Požadavky pro hospodaření v CHKO Broumovsko s akcentem na protierozní ochranu jsou uvedeny níže:</w:t>
            </w:r>
          </w:p>
          <w:p w:rsidR="00E90101" w:rsidRPr="00E90101" w:rsidRDefault="00E90101" w:rsidP="00E90101">
            <w:pPr>
              <w:pStyle w:val="Odstavecseseznamem"/>
              <w:numPr>
                <w:ilvl w:val="0"/>
                <w:numId w:val="4"/>
              </w:numPr>
              <w:spacing w:after="120"/>
              <w:jc w:val="both"/>
            </w:pPr>
            <w:r w:rsidRPr="00E90101">
              <w:t>Zachovávat stávající funkci luk a pastvin, jejich přeměna na ornou půdu je možná pouze ve výjimečných případech,</w:t>
            </w:r>
          </w:p>
          <w:p w:rsidR="00E90101" w:rsidRPr="00E90101" w:rsidRDefault="00E90101" w:rsidP="00E90101">
            <w:pPr>
              <w:pStyle w:val="Odstavecseseznamem"/>
              <w:numPr>
                <w:ilvl w:val="0"/>
                <w:numId w:val="4"/>
              </w:numPr>
              <w:spacing w:after="120"/>
              <w:jc w:val="both"/>
            </w:pPr>
            <w:r w:rsidRPr="00E90101">
              <w:t>pastvu provádět v souladu s ekologickou únosností pozemků, tzn. nepřekračovat výši přípustného stavu zvířat, aby nedocházelo k ohrožení pozemků erozí,</w:t>
            </w:r>
          </w:p>
          <w:p w:rsidR="00E90101" w:rsidRPr="00E90101" w:rsidRDefault="00E90101" w:rsidP="00E90101">
            <w:pPr>
              <w:pStyle w:val="Odstavecseseznamem"/>
              <w:numPr>
                <w:ilvl w:val="0"/>
                <w:numId w:val="4"/>
              </w:numPr>
              <w:spacing w:after="120"/>
              <w:jc w:val="both"/>
            </w:pPr>
            <w:r w:rsidRPr="00E90101">
              <w:t xml:space="preserve">diverzifikovat biotopy v krajině, zejména zachovat křovinné biotopy, remízy, lesní lemy, meze, </w:t>
            </w:r>
          </w:p>
          <w:p w:rsidR="00E90101" w:rsidRPr="00E90101" w:rsidRDefault="00E90101" w:rsidP="00E90101">
            <w:pPr>
              <w:pStyle w:val="Odstavecseseznamem"/>
              <w:numPr>
                <w:ilvl w:val="0"/>
                <w:numId w:val="4"/>
              </w:numPr>
              <w:spacing w:after="120"/>
              <w:jc w:val="both"/>
            </w:pPr>
            <w:r w:rsidRPr="00E90101">
              <w:t>podél vodních toků zachovat pruh TTP minimálně v šířce 5–10 m podle erozního ohrožení</w:t>
            </w:r>
            <w:r w:rsidR="005C5CA6" w:rsidRPr="005F5485">
              <w:t>, resp. v celé šíři funkční nivy nebo prvku ÚSES.</w:t>
            </w:r>
            <w:bookmarkStart w:id="0" w:name="_GoBack"/>
            <w:bookmarkEnd w:id="0"/>
          </w:p>
          <w:p w:rsidR="0045433E" w:rsidRPr="00E90101" w:rsidRDefault="00E90101" w:rsidP="00E90101">
            <w:pPr>
              <w:jc w:val="both"/>
            </w:pPr>
            <w:r w:rsidRPr="00E90101">
              <w:t>Z hlediska požadavků na realizaci podrobnějších protierozních opatření byla v rámci okrsku identifikována řada půdních bloků, u kterých je doporučeno provést zatravnění nebo technické protierozní opatření. Tyto půdní bloky jsou zřejmé z mapových příloh územní studie krajiny.</w:t>
            </w:r>
          </w:p>
        </w:tc>
      </w:tr>
      <w:tr w:rsidR="0045433E" w:rsidTr="0045433E">
        <w:trPr>
          <w:trHeight w:val="773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lesní hospodářství</w:t>
            </w:r>
          </w:p>
        </w:tc>
        <w:tc>
          <w:tcPr>
            <w:tcW w:w="7630" w:type="dxa"/>
            <w:vAlign w:val="center"/>
          </w:tcPr>
          <w:p w:rsidR="00E90101" w:rsidRPr="00E90101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 xml:space="preserve">Vzhledem ke skutečnosti, že dominantní část okrsku zasahuje do III. zóny CHKO Broumovsko a část lesních porostů v lesním okrsku se nachází ve II. zóně CHKO Broumovsko, je nutno podřídit hospodaření v lesních porostech požadavkům </w:t>
            </w:r>
            <w:r w:rsidRPr="00E90101">
              <w:rPr>
                <w:color w:val="000000" w:themeColor="text1"/>
              </w:rPr>
              <w:lastRenderedPageBreak/>
              <w:t>ochrany přírody a krajiny. Požadavky na hospodaření v jednotlivých zónách jsou uvedeny v bodech níže:</w:t>
            </w:r>
          </w:p>
          <w:p w:rsidR="00E90101" w:rsidRPr="00E90101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Ve II. zóně budou pěstovány druhově bohaté, věkově a prostorově diferencované lesní porosty tvořené alespoň cca 40–60 % stanovištně původními dřevinami. Bude převažovat přirozená obnova porostů, na obnovních sečích budou ponechávány výstavky stanovištně původních dřevin. Náseky, příp. holé seče se budou používat zejména při přeměnách porostů s nevhodnou druhovou skladbou. V bukových (příp. jiných listnatých) porostních typech se při obnově porostů nebude snižovat zastoupení stanovištně původních dřevin. Ve smrkových porostech bude cíleně pěstován zvýšený podíl stanovištně původních listnáčů a jedle, aby se zvýšila jejich ekologická stabilita. V lesích bude zůstávat část odumřelého dřeva. Při obnově budou pro udržení biodiverzity ponechávány jednotlivé stromy (případně jejich skupiny) do fyzického rozpadu.</w:t>
            </w:r>
          </w:p>
          <w:p w:rsidR="00E90101" w:rsidRPr="00E90101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Ve III. zóně budou lesy obhospodařovány běžným způsobem. Budou pěstovány porosty produkčně významných geograficky původních druhů, zejména smrk ztepilý, borovice lesní, buk lesní s příměsí dalších stanovištně původních druhů zajišťující jejich větší odolnost proti kalamitám a ekologickou stabilitu. Porostní skladba i struktura bude zjednodušená. V závislosti na ekologických nárocích dřevin a stanovištních podmínkách se bude uplatňovat přirozená i umělá obnova.</w:t>
            </w:r>
          </w:p>
          <w:p w:rsidR="0045433E" w:rsidRPr="00E04F2D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Z hlediska těžebně-dopravních technologií bylo v rámci okrsku identifikováno několik porostů, ve kterých je doporučeno aplikovat specifické těžebně-dopravní technologie. Tyto lesní porosty jsou zřejmé z mapových příloh územní studie krajiny.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Doporučení pro tvorbu ekologicky stabilní krajiny</w:t>
            </w:r>
          </w:p>
        </w:tc>
        <w:tc>
          <w:tcPr>
            <w:tcW w:w="7630" w:type="dxa"/>
            <w:vAlign w:val="center"/>
          </w:tcPr>
          <w:p w:rsidR="00E90101" w:rsidRPr="00E90101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Stávající aleje a stromořadí doprovázející polní cesty udržovat a dosazovat. V lokalitě je celá řada míst pro novou výsadbu na pomezí půdních bloků a podél stávajících i historických polních cest (např. jako interakční prvky ÚSES). V polích nad Horním Dřevíčem obnovit a aleje tradičních cest jako např. Bílé cesty.</w:t>
            </w:r>
          </w:p>
          <w:p w:rsidR="0045433E" w:rsidRPr="00110F9F" w:rsidRDefault="00E90101" w:rsidP="00E90101">
            <w:pPr>
              <w:jc w:val="both"/>
              <w:rPr>
                <w:color w:val="000000" w:themeColor="text1"/>
              </w:rPr>
            </w:pPr>
            <w:r w:rsidRPr="00E90101">
              <w:rPr>
                <w:color w:val="000000" w:themeColor="text1"/>
              </w:rPr>
              <w:t>V rámci údolní nivy Dřevíče extenzivně obhospodařovat luční porosty sečí, případně kombinovat s pastvou. V rámci údolní nivy je možné vytvořit i lokální mělké nezastíněné tůně, pro podporu biodiverzity a jako biotopy ohrožených druhů obojživelníků, hmyzu atp.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prostupnost krajiny</w:t>
            </w:r>
          </w:p>
        </w:tc>
        <w:tc>
          <w:tcPr>
            <w:tcW w:w="7630" w:type="dxa"/>
            <w:vAlign w:val="center"/>
          </w:tcPr>
          <w:p w:rsidR="0045433E" w:rsidRPr="00110F9F" w:rsidRDefault="001F6699" w:rsidP="001F6699">
            <w:pPr>
              <w:jc w:val="both"/>
              <w:rPr>
                <w:color w:val="000000" w:themeColor="text1"/>
              </w:rPr>
            </w:pPr>
            <w:r w:rsidRPr="001F6699">
              <w:rPr>
                <w:color w:val="000000" w:themeColor="text1"/>
              </w:rPr>
              <w:t xml:space="preserve">Migrační prostupnost </w:t>
            </w:r>
            <w:r>
              <w:rPr>
                <w:color w:val="000000" w:themeColor="text1"/>
              </w:rPr>
              <w:t>bioty</w:t>
            </w:r>
            <w:r w:rsidRPr="001F6699">
              <w:rPr>
                <w:color w:val="000000" w:themeColor="text1"/>
              </w:rPr>
              <w:t>:</w:t>
            </w:r>
            <w:r>
              <w:rPr>
                <w:color w:val="000000" w:themeColor="text1"/>
              </w:rPr>
              <w:t xml:space="preserve"> </w:t>
            </w:r>
            <w:r w:rsidR="00E90101">
              <w:t xml:space="preserve"> </w:t>
            </w:r>
            <w:r w:rsidR="00E90101" w:rsidRPr="00E90101">
              <w:rPr>
                <w:color w:val="000000" w:themeColor="text1"/>
              </w:rPr>
              <w:t>Na vodním toku Dřevíče i Jívky se nalézá celá řada migračně neprostupných vodohospodářských objektů – snaha o postupné zprostupnění toku (kamenné skluzy atp.) správci vodního toku i s ohledem na vymezenou EVL pro mihuli říční (</w:t>
            </w:r>
            <w:r w:rsidR="00E90101" w:rsidRPr="00E90101">
              <w:rPr>
                <w:i/>
                <w:color w:val="000000" w:themeColor="text1"/>
              </w:rPr>
              <w:t>Lampetra planeri</w:t>
            </w:r>
            <w:r w:rsidR="00E90101" w:rsidRPr="00E90101">
              <w:rPr>
                <w:color w:val="000000" w:themeColor="text1"/>
              </w:rPr>
              <w:t>).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Ostatní doporučení</w:t>
            </w:r>
          </w:p>
        </w:tc>
        <w:tc>
          <w:tcPr>
            <w:tcW w:w="7630" w:type="dxa"/>
            <w:vAlign w:val="center"/>
          </w:tcPr>
          <w:p w:rsidR="0045433E" w:rsidRDefault="00643A91" w:rsidP="00872EF6">
            <w:pPr>
              <w:jc w:val="both"/>
              <w:rPr>
                <w:color w:val="000000" w:themeColor="text1"/>
              </w:rPr>
            </w:pPr>
            <w:r w:rsidRPr="00643A91">
              <w:t xml:space="preserve">Turistika: </w:t>
            </w:r>
            <w:r w:rsidR="00E90101" w:rsidRPr="00E90101">
              <w:t>Zátěže turistiky udržitelné bez opatření, atraktivní cíl vedle krajiny i v městském prostředí MPZ, podpora pobytu turistů na náměstí a u zámku.</w:t>
            </w:r>
          </w:p>
          <w:p w:rsidR="00872EF6" w:rsidRPr="00E90101" w:rsidRDefault="00872EF6" w:rsidP="00E90101">
            <w:pPr>
              <w:jc w:val="both"/>
              <w:rPr>
                <w:i/>
              </w:rPr>
            </w:pPr>
            <w:r w:rsidRPr="00872EF6">
              <w:rPr>
                <w:color w:val="000000" w:themeColor="text1"/>
              </w:rPr>
              <w:t>Staré ekologické zátěže</w:t>
            </w:r>
            <w:r w:rsidR="00E90101">
              <w:rPr>
                <w:color w:val="000000" w:themeColor="text1"/>
              </w:rPr>
              <w:t>:</w:t>
            </w:r>
            <w:r w:rsidR="005603AA">
              <w:rPr>
                <w:color w:val="000000" w:themeColor="text1"/>
              </w:rPr>
              <w:t xml:space="preserve"> </w:t>
            </w:r>
            <w:r w:rsidR="00E90101" w:rsidRPr="00E90101">
              <w:rPr>
                <w:color w:val="000000" w:themeColor="text1"/>
              </w:rPr>
              <w:t>V</w:t>
            </w:r>
            <w:r w:rsidR="00E90101" w:rsidRPr="00E90101">
              <w:t>zhledem ke skutečnosti, že lokalita s identifikovanou kontaminací nebyla doposud podrobněji hodnocena, je doporučeno se podrobněji zaměřit na její zhodnocení a sanaci.</w:t>
            </w:r>
          </w:p>
        </w:tc>
      </w:tr>
    </w:tbl>
    <w:p w:rsidR="00E90101" w:rsidRDefault="00E90101" w:rsidP="00110F9F">
      <w:pPr>
        <w:rPr>
          <w:b/>
          <w:color w:val="FFFFFF" w:themeColor="background1"/>
        </w:rPr>
      </w:pPr>
    </w:p>
    <w:p w:rsidR="00E90101" w:rsidRDefault="00E90101">
      <w:pPr>
        <w:rPr>
          <w:b/>
          <w:color w:val="FFFFFF" w:themeColor="background1"/>
        </w:rPr>
      </w:pPr>
      <w:r>
        <w:rPr>
          <w:b/>
          <w:color w:val="FFFFFF" w:themeColor="background1"/>
        </w:rPr>
        <w:br w:type="page"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lastRenderedPageBreak/>
        <w:tab/>
      </w:r>
      <w:r>
        <w:rPr>
          <w:b/>
          <w:color w:val="FFFFFF" w:themeColor="background1"/>
          <w:sz w:val="36"/>
        </w:rPr>
        <w:t>SCHÉMA KRAJINNÉHO OKRSKU</w:t>
      </w:r>
    </w:p>
    <w:p w:rsidR="0045433E" w:rsidRDefault="0045433E" w:rsidP="00110F9F">
      <w:pPr>
        <w:rPr>
          <w:b/>
          <w:color w:val="FFFFFF" w:themeColor="background1"/>
        </w:rPr>
      </w:pPr>
    </w:p>
    <w:p w:rsidR="0045433E" w:rsidRDefault="001C6A36" w:rsidP="00110F9F">
      <w:pPr>
        <w:rPr>
          <w:b/>
          <w:color w:val="FFFFFF" w:themeColor="background1"/>
        </w:rPr>
      </w:pPr>
      <w:r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5760346" cy="4072889"/>
            <wp:effectExtent l="19050" t="19050" r="12065" b="2349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kica okr 03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346" cy="407288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43A91" w:rsidRDefault="00643A91" w:rsidP="00110F9F">
      <w:pPr>
        <w:rPr>
          <w:b/>
          <w:color w:val="FFFFFF" w:themeColor="background1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FOTODOKUMENTACE</w:t>
      </w:r>
    </w:p>
    <w:p w:rsidR="00705C35" w:rsidRDefault="00CF0923" w:rsidP="00B30FCA">
      <w:pPr>
        <w:spacing w:after="0"/>
      </w:pPr>
      <w:r>
        <w:rPr>
          <w:sz w:val="18"/>
        </w:rPr>
        <w:t>Pohled na Stárkov</w:t>
      </w:r>
      <w:r w:rsidRPr="00705C35">
        <w:rPr>
          <w:noProof/>
          <w:lang w:eastAsia="cs-CZ"/>
        </w:rPr>
        <w:drawing>
          <wp:inline distT="0" distB="0" distL="0" distR="0" wp14:anchorId="1B70016F" wp14:editId="32F3C409">
            <wp:extent cx="5760720" cy="3143250"/>
            <wp:effectExtent l="19050" t="19050" r="11430" b="19050"/>
            <wp:docPr id="1" name="Obrázek 1" descr="I:\USK\Foto_JCN_24_03_2018\20180324_1307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USK\Foto_JCN_24_03_2018\20180324_13071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1432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05C35" w:rsidRDefault="00CF0923" w:rsidP="001F6699">
      <w:pPr>
        <w:rPr>
          <w:sz w:val="18"/>
          <w:szCs w:val="18"/>
        </w:rPr>
      </w:pPr>
      <w:r>
        <w:rPr>
          <w:sz w:val="18"/>
          <w:szCs w:val="18"/>
        </w:rPr>
        <w:lastRenderedPageBreak/>
        <w:t>Kostel sv. Josefa ve Stárkově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Lidová architektura</w:t>
      </w:r>
    </w:p>
    <w:p w:rsidR="00EB24B2" w:rsidRDefault="00705C35" w:rsidP="00E81D5A">
      <w:pPr>
        <w:rPr>
          <w:b/>
          <w:color w:val="FFFFFF" w:themeColor="background1"/>
        </w:rPr>
      </w:pPr>
      <w:r w:rsidRPr="00705C35"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2762250" cy="4909468"/>
            <wp:effectExtent l="19050" t="19050" r="19050" b="24765"/>
            <wp:docPr id="3" name="Obrázek 3" descr="I:\USK\Foto_JCN_24_03_2018\20180324_1246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USK\Foto_JCN_24_03_2018\20180324_12464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0793" cy="49424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b/>
          <w:color w:val="FFFFFF" w:themeColor="background1"/>
        </w:rPr>
        <w:t xml:space="preserve">     </w:t>
      </w:r>
      <w:r w:rsidRPr="00705C35"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2764637" cy="4913710"/>
            <wp:effectExtent l="19050" t="19050" r="17145" b="20320"/>
            <wp:docPr id="4" name="Obrázek 4" descr="I:\USK\Foto_JCN_24_03_2018\20180324_1256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:\USK\Foto_JCN_24_03_2018\20180324_12562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984" cy="49321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C76D0" w:rsidRPr="00B30FCA" w:rsidRDefault="005C76D0" w:rsidP="00E81D5A">
      <w:pPr>
        <w:rPr>
          <w:sz w:val="18"/>
          <w:szCs w:val="18"/>
        </w:rPr>
      </w:pPr>
      <w:r w:rsidRPr="00B30FCA">
        <w:rPr>
          <w:sz w:val="18"/>
          <w:szCs w:val="18"/>
        </w:rPr>
        <w:t>Fara ve Stárkově</w:t>
      </w:r>
      <w:r w:rsidRPr="00B30FCA">
        <w:rPr>
          <w:sz w:val="18"/>
          <w:szCs w:val="18"/>
        </w:rPr>
        <w:tab/>
      </w:r>
    </w:p>
    <w:p w:rsidR="00D81C2F" w:rsidRDefault="00705C35" w:rsidP="00D81C2F">
      <w:pPr>
        <w:rPr>
          <w:b/>
          <w:color w:val="FFFFFF" w:themeColor="background1"/>
        </w:rPr>
      </w:pPr>
      <w:r w:rsidRPr="00705C35"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5760720" cy="3241196"/>
            <wp:effectExtent l="19050" t="19050" r="11430" b="16510"/>
            <wp:docPr id="5" name="Obrázek 5" descr="I:\USK\Foto_JCN_24_03_2018\20180324_1247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:\USK\Foto_JCN_24_03_2018\20180324_12474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119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D81C2F" w:rsidSect="00B11E1E">
      <w:footerReference w:type="default" r:id="rId14"/>
      <w:headerReference w:type="first" r:id="rId15"/>
      <w:footerReference w:type="first" r:id="rId16"/>
      <w:pgSz w:w="11906" w:h="16838"/>
      <w:pgMar w:top="1417" w:right="1417" w:bottom="1417" w:left="1417" w:header="709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87CF5" w:rsidRDefault="00587CF5" w:rsidP="00225455">
      <w:pPr>
        <w:spacing w:after="0" w:line="240" w:lineRule="auto"/>
      </w:pPr>
      <w:r>
        <w:separator/>
      </w:r>
    </w:p>
  </w:endnote>
  <w:endnote w:type="continuationSeparator" w:id="0">
    <w:p w:rsidR="00587CF5" w:rsidRDefault="00587CF5" w:rsidP="00225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378390313"/>
      <w:docPartObj>
        <w:docPartGallery w:val="Page Numbers (Bottom of Page)"/>
        <w:docPartUnique/>
      </w:docPartObj>
    </w:sdtPr>
    <w:sdtEndPr/>
    <w:sdtContent>
      <w:p w:rsidR="00B11E1E" w:rsidRDefault="00B11E1E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81C2F">
          <w:rPr>
            <w:noProof/>
          </w:rPr>
          <w:t>6</w:t>
        </w:r>
        <w:r>
          <w:fldChar w:fldCharType="end"/>
        </w:r>
      </w:p>
    </w:sdtContent>
  </w:sdt>
  <w:p w:rsidR="00CB0303" w:rsidRPr="00424EE5" w:rsidRDefault="00CB0303" w:rsidP="00CB0303">
    <w:pPr>
      <w:pStyle w:val="Zpat"/>
      <w:jc w:val="center"/>
      <w:rPr>
        <w:b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Pr="00424EE5" w:rsidRDefault="00B11E1E" w:rsidP="00B11E1E">
    <w:pPr>
      <w:pStyle w:val="Zpat"/>
      <w:jc w:val="center"/>
      <w:rPr>
        <w:b/>
      </w:rPr>
    </w:pPr>
    <w:r w:rsidRPr="00280C8B">
      <w:rPr>
        <w:b/>
        <w:bCs/>
        <w:noProof/>
        <w:spacing w:val="30"/>
        <w:sz w:val="40"/>
        <w:szCs w:val="40"/>
        <w:highlight w:val="yellow"/>
        <w:lang w:eastAsia="cs-CZ"/>
      </w:rPr>
      <w:drawing>
        <wp:anchor distT="0" distB="0" distL="114300" distR="114300" simplePos="0" relativeHeight="251668480" behindDoc="0" locked="0" layoutInCell="1" allowOverlap="1" wp14:anchorId="30D00F12" wp14:editId="38DEEAD9">
          <wp:simplePos x="0" y="0"/>
          <wp:positionH relativeFrom="column">
            <wp:posOffset>-364490</wp:posOffset>
          </wp:positionH>
          <wp:positionV relativeFrom="paragraph">
            <wp:posOffset>-104775</wp:posOffset>
          </wp:positionV>
          <wp:extent cx="1139190" cy="676208"/>
          <wp:effectExtent l="0" t="0" r="3810" b="0"/>
          <wp:wrapNone/>
          <wp:docPr id="1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9190" cy="67620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  <w:t xml:space="preserve">   </w:t>
    </w:r>
    <w:r>
      <w:fldChar w:fldCharType="begin"/>
    </w:r>
    <w:r>
      <w:instrText>PAGE   \* MERGEFORMAT</w:instrText>
    </w:r>
    <w:r>
      <w:fldChar w:fldCharType="separate"/>
    </w:r>
    <w:r w:rsidR="00D81C2F">
      <w:rPr>
        <w:noProof/>
      </w:rPr>
      <w:t>1</w:t>
    </w:r>
    <w:r>
      <w:fldChar w:fldCharType="end"/>
    </w:r>
  </w:p>
  <w:p w:rsidR="00B11E1E" w:rsidRDefault="00B11E1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87CF5" w:rsidRDefault="00587CF5" w:rsidP="00225455">
      <w:pPr>
        <w:spacing w:after="0" w:line="240" w:lineRule="auto"/>
      </w:pPr>
      <w:r>
        <w:separator/>
      </w:r>
    </w:p>
  </w:footnote>
  <w:footnote w:type="continuationSeparator" w:id="0">
    <w:p w:rsidR="00587CF5" w:rsidRDefault="00587CF5" w:rsidP="00225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Default="00B11E1E" w:rsidP="00B11E1E">
    <w:pPr>
      <w:pStyle w:val="Zhlav"/>
    </w:pPr>
    <w:r>
      <w:rPr>
        <w:noProof/>
        <w:lang w:eastAsia="cs-CZ"/>
      </w:rPr>
      <w:drawing>
        <wp:anchor distT="0" distB="0" distL="114300" distR="114300" simplePos="0" relativeHeight="251666432" behindDoc="0" locked="0" layoutInCell="1" allowOverlap="1" wp14:anchorId="0125993B" wp14:editId="1A742A2D">
          <wp:simplePos x="0" y="0"/>
          <wp:positionH relativeFrom="column">
            <wp:posOffset>3413760</wp:posOffset>
          </wp:positionH>
          <wp:positionV relativeFrom="paragraph">
            <wp:posOffset>-142875</wp:posOffset>
          </wp:positionV>
          <wp:extent cx="2705100" cy="593090"/>
          <wp:effectExtent l="0" t="0" r="0" b="0"/>
          <wp:wrapNone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M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05100" cy="593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65408" behindDoc="0" locked="0" layoutInCell="1" allowOverlap="1" wp14:anchorId="7582CD99" wp14:editId="36165657">
          <wp:simplePos x="0" y="0"/>
          <wp:positionH relativeFrom="column">
            <wp:posOffset>-364490</wp:posOffset>
          </wp:positionH>
          <wp:positionV relativeFrom="paragraph">
            <wp:posOffset>-195580</wp:posOffset>
          </wp:positionV>
          <wp:extent cx="3333750" cy="643890"/>
          <wp:effectExtent l="0" t="0" r="0" b="381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U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6438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11E1E" w:rsidRDefault="00B11E1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C86106"/>
    <w:multiLevelType w:val="hybridMultilevel"/>
    <w:tmpl w:val="D56AE0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7D079F"/>
    <w:multiLevelType w:val="hybridMultilevel"/>
    <w:tmpl w:val="02DE743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F91B74"/>
    <w:multiLevelType w:val="hybridMultilevel"/>
    <w:tmpl w:val="C7A830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783D33"/>
    <w:multiLevelType w:val="hybridMultilevel"/>
    <w:tmpl w:val="23BAE6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6C49"/>
    <w:rsid w:val="000310CC"/>
    <w:rsid w:val="00094820"/>
    <w:rsid w:val="00110F9F"/>
    <w:rsid w:val="00167E99"/>
    <w:rsid w:val="001838A2"/>
    <w:rsid w:val="001B77AA"/>
    <w:rsid w:val="001C6A36"/>
    <w:rsid w:val="001D6E12"/>
    <w:rsid w:val="001F6699"/>
    <w:rsid w:val="00225455"/>
    <w:rsid w:val="002C3D40"/>
    <w:rsid w:val="002C63E1"/>
    <w:rsid w:val="00314937"/>
    <w:rsid w:val="004010D2"/>
    <w:rsid w:val="00402C00"/>
    <w:rsid w:val="004079C0"/>
    <w:rsid w:val="00424EE5"/>
    <w:rsid w:val="0045433E"/>
    <w:rsid w:val="00454853"/>
    <w:rsid w:val="005603AA"/>
    <w:rsid w:val="00567DCD"/>
    <w:rsid w:val="00571312"/>
    <w:rsid w:val="00587CF5"/>
    <w:rsid w:val="005C5CA6"/>
    <w:rsid w:val="005C76D0"/>
    <w:rsid w:val="006136B3"/>
    <w:rsid w:val="00643A91"/>
    <w:rsid w:val="006B1400"/>
    <w:rsid w:val="006C03C2"/>
    <w:rsid w:val="00705C35"/>
    <w:rsid w:val="007E2553"/>
    <w:rsid w:val="007E3AD3"/>
    <w:rsid w:val="008504A8"/>
    <w:rsid w:val="00872EF6"/>
    <w:rsid w:val="008962D5"/>
    <w:rsid w:val="008A1279"/>
    <w:rsid w:val="008A6C49"/>
    <w:rsid w:val="00925AC8"/>
    <w:rsid w:val="009C2DF7"/>
    <w:rsid w:val="00A7327C"/>
    <w:rsid w:val="00AE4076"/>
    <w:rsid w:val="00B11E1E"/>
    <w:rsid w:val="00B30FCA"/>
    <w:rsid w:val="00B71C42"/>
    <w:rsid w:val="00B77AAC"/>
    <w:rsid w:val="00BB33AE"/>
    <w:rsid w:val="00BC7F33"/>
    <w:rsid w:val="00C968F4"/>
    <w:rsid w:val="00CB0303"/>
    <w:rsid w:val="00CF0923"/>
    <w:rsid w:val="00CF105B"/>
    <w:rsid w:val="00D30FEA"/>
    <w:rsid w:val="00D72AD0"/>
    <w:rsid w:val="00D81C2F"/>
    <w:rsid w:val="00D93429"/>
    <w:rsid w:val="00DB4C44"/>
    <w:rsid w:val="00DE761B"/>
    <w:rsid w:val="00E04F2D"/>
    <w:rsid w:val="00E4044E"/>
    <w:rsid w:val="00E81D5A"/>
    <w:rsid w:val="00E90101"/>
    <w:rsid w:val="00EB24B2"/>
    <w:rsid w:val="00EE65C2"/>
    <w:rsid w:val="00F01EBD"/>
    <w:rsid w:val="00F82B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626436A"/>
  <w15:chartTrackingRefBased/>
  <w15:docId w15:val="{3A4E06FF-C2C9-4823-A22C-A2E79E619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A732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25455"/>
  </w:style>
  <w:style w:type="paragraph" w:styleId="Zpat">
    <w:name w:val="footer"/>
    <w:basedOn w:val="Normln"/>
    <w:link w:val="Zpat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25455"/>
  </w:style>
  <w:style w:type="paragraph" w:styleId="Odstavecseseznamem">
    <w:name w:val="List Paragraph"/>
    <w:basedOn w:val="Normln"/>
    <w:uiPriority w:val="34"/>
    <w:qFormat/>
    <w:rsid w:val="00872EF6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7E255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E255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12B3EC-2ACF-4054-B6C7-B5C3C73D70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7</Pages>
  <Words>1970</Words>
  <Characters>11627</Characters>
  <Application>Microsoft Office Word</Application>
  <DocSecurity>0</DocSecurity>
  <Lines>96</Lines>
  <Paragraphs>27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Černý</dc:creator>
  <cp:keywords/>
  <dc:description/>
  <cp:lastModifiedBy>Smejtek Lubor (MHMP, OCP)</cp:lastModifiedBy>
  <cp:revision>12</cp:revision>
  <dcterms:created xsi:type="dcterms:W3CDTF">2019-06-17T14:22:00Z</dcterms:created>
  <dcterms:modified xsi:type="dcterms:W3CDTF">2019-06-25T19:47:00Z</dcterms:modified>
</cp:coreProperties>
</file>